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69" w:rsidRDefault="00F873D8" w:rsidP="00F873D8">
      <w:pPr>
        <w:pStyle w:val="a4"/>
        <w:spacing w:after="0"/>
        <w:rPr>
          <w:rStyle w:val="a7"/>
          <w:bCs/>
          <w:sz w:val="28"/>
          <w:szCs w:val="28"/>
        </w:rPr>
      </w:pPr>
      <w:r w:rsidRPr="00F873D8">
        <w:rPr>
          <w:rStyle w:val="a7"/>
          <w:bCs/>
          <w:sz w:val="28"/>
          <w:szCs w:val="28"/>
        </w:rPr>
        <w:drawing>
          <wp:inline distT="0" distB="0" distL="0" distR="0">
            <wp:extent cx="1247775" cy="1123950"/>
            <wp:effectExtent l="0" t="0" r="0" b="0"/>
            <wp:docPr id="1" name="Рисунок 1" descr="Логотип Дербента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769" w:rsidRDefault="00253769" w:rsidP="00253769">
      <w:pPr>
        <w:pStyle w:val="a4"/>
        <w:spacing w:before="0" w:after="0"/>
        <w:rPr>
          <w:rStyle w:val="a7"/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Республика Дагестан</w:t>
      </w:r>
    </w:p>
    <w:p w:rsidR="00253769" w:rsidRDefault="00253769" w:rsidP="00253769">
      <w:pPr>
        <w:keepNext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253769" w:rsidRDefault="00253769" w:rsidP="00253769">
      <w:pPr>
        <w:keepNext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253769" w:rsidRDefault="00253769" w:rsidP="00253769">
      <w:pPr>
        <w:pBdr>
          <w:bottom w:val="thinThickMediumGap" w:sz="24" w:space="3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detsadpetushok</w:t>
        </w:r>
        <w:r>
          <w:rPr>
            <w:rStyle w:val="a3"/>
            <w:rFonts w:ascii="Times New Roman" w:hAnsi="Times New Roman"/>
            <w:sz w:val="20"/>
            <w:szCs w:val="20"/>
          </w:rPr>
          <w:t>11@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1E0"/>
      </w:tblPr>
      <w:tblGrid>
        <w:gridCol w:w="4952"/>
        <w:gridCol w:w="4953"/>
      </w:tblGrid>
      <w:tr w:rsidR="00253769" w:rsidTr="00253769">
        <w:tc>
          <w:tcPr>
            <w:tcW w:w="4952" w:type="dxa"/>
          </w:tcPr>
          <w:p w:rsidR="00253769" w:rsidRDefault="00253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ПРИНЯТО: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Педагогическим советом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МБДОУ «ЦРР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/с №11 «Петушок»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Протокол № ______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от _______________ 20___ г.</w:t>
            </w:r>
          </w:p>
          <w:p w:rsidR="00253769" w:rsidRDefault="00253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3" w:type="dxa"/>
          </w:tcPr>
          <w:p w:rsidR="00253769" w:rsidRDefault="00253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УТВЕРЖДЕНО: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Заведующая МБДОУ 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«ЦРР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/с №11 «Петушок» 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_______________ С.М.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Савзиханова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Приказ № _____</w:t>
            </w:r>
          </w:p>
          <w:p w:rsidR="00253769" w:rsidRDefault="00253769">
            <w:pPr>
              <w:shd w:val="clear" w:color="auto" w:fill="FFFFFF" w:themeFill="background1"/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от ________________ 20___ г.</w:t>
            </w:r>
          </w:p>
        </w:tc>
      </w:tr>
    </w:tbl>
    <w:p w:rsidR="00253769" w:rsidRDefault="00253769" w:rsidP="00253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69" w:rsidRDefault="00253769" w:rsidP="002537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769" w:rsidRDefault="00253769" w:rsidP="0025376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253769" w:rsidRDefault="00253769" w:rsidP="00253769">
      <w:pPr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color w:val="000000"/>
          <w:sz w:val="56"/>
          <w:szCs w:val="56"/>
        </w:rPr>
        <w:t xml:space="preserve">об </w:t>
      </w:r>
      <w:proofErr w:type="spellStart"/>
      <w:r>
        <w:rPr>
          <w:rFonts w:ascii="Times New Roman" w:hAnsi="Times New Roman" w:cs="Times New Roman"/>
          <w:b/>
          <w:color w:val="000000"/>
          <w:sz w:val="56"/>
          <w:szCs w:val="56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политике</w:t>
      </w:r>
    </w:p>
    <w:p w:rsidR="00253769" w:rsidRDefault="00253769" w:rsidP="0025376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color w:val="000000"/>
          <w:sz w:val="56"/>
          <w:szCs w:val="56"/>
        </w:rPr>
        <w:t>в МБДОУ «ЦРР детский сад №11 «Петушок»</w:t>
      </w:r>
    </w:p>
    <w:p w:rsidR="00253769" w:rsidRDefault="00253769" w:rsidP="00253769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253769" w:rsidRDefault="00253769" w:rsidP="00253769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253769" w:rsidRDefault="00253769" w:rsidP="00253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769" w:rsidRDefault="00253769" w:rsidP="00253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769" w:rsidRDefault="00253769" w:rsidP="00253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769" w:rsidRDefault="00253769" w:rsidP="0025376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873D8" w:rsidRDefault="00F873D8" w:rsidP="00253769">
      <w:pPr>
        <w:shd w:val="clear" w:color="auto" w:fill="FFFFFF"/>
        <w:spacing w:after="24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/>
        <w:spacing w:after="24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 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антикоррупционную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политику являются также федеральный закон от 29.12.2012г. №273-ФЗ «Об образовании в РФ», федеральный закон от 5.04.2013г. № 44-ФЗ "О контрактной системе в сфере закупок товаров, работ, услуг для обеспечения государственных и муниципальных нужд", Устав МБДОУ «ЦРР детского сада №11 и другие локальные акты.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1. Общее положение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1.1. Настоящее положение  разработано в целях защиты прав и свобод граждан, обеспечения законности, правопорядка и общественной безопасности,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правонарушений  в Муниципальном бюджетном дошкольном образовательном учреждении «Центр развития ребёнка – детский сад №11 «Петушок». Определяет задачи, основные принципы противодействия коррупции и меры предупреждения коррупционных правонарушений.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1.2. В  настоящем документе используются следующие основные понятия: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политика - деятельность ДОУ по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экспертиза правовых актов - деятельность по выявлению и описанию коррупционных факторов, относящихся к действующим правовым актам и их проектам, разработке рекомендаций, направленных на устранение или ограничение действия таких факторов;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1.4.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ДОУ, с использованием своих должностных полномочий и, связанных с ними возможностей. Подкуп данных лиц путём противоправного предоставления им физическими и юридическими лицами указанных благ и преимуществ;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 Коррупционное правонарушение 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1.6. Коррупционный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1.7. Предупреждение коррупции - деятельность ДОУ по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1.8. Субъекты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политики - общественные или иные организации, уполномоченные в пределах своей компетенции осуществлять противодействие коррупции.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Основные принципы противодействия коррупции.</w:t>
      </w: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Противодействие коррупции в ДОУ осуществляется на основе следующих принципов: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Приоритета профилактических мер, направленных на недопущение формирования причин и условий, порождающих коррупцию;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Обеспечение чёткой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Приоритета защиты прав и законных интересов физических и юридических лиц;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Взаимодействие с общественными объединениями и гражданами.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3. Основные меры предупреждения коррупционных правонарушений.</w:t>
      </w: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Предупреждение коррупционных правонарушений осуществляется путём применения следующих мер: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Разработка и реализация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мероприятий;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Проведение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экспертизы правовых актов и (или) их проектов;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Антикоррупционное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образование и пропаганда; Иные меры, предусмотренные законодательством Российской Федерации.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4. План мероприятий по реализации стратегии 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политики.</w:t>
      </w: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План мероприятий по реализации стратегии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воспитательных, организационных и иных мер, направленных на противодействие коррупции в ДОУ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Разработка и принятие плана мероприятий по реализации стратегии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политики осуществляется в порядке, установленном законодательством.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экспертиза правовых актов и проектов.</w:t>
      </w: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Решение о проведении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экспертизы правовых актов и (или) их проектов принимается руководителем учреждения.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Родители (законные представители) воспитанников, работники вправе обратиться к председателю комиссии по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политике ДОУ с обращением о проведении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экспертизы действующих правовых актов.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Антикоррупционное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образование и пропаганда.</w:t>
      </w:r>
    </w:p>
    <w:p w:rsidR="00F873D8" w:rsidRDefault="00F873D8" w:rsidP="00253769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Для решения задач по формированию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мировоззрения, повышение уровня самосознания и правовой культуры, в ДОУ организовать изучение правовых и морально-этических аспектов деятельности.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Организация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образования осуществляется комиссией по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деятельности.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является просветительская работа в ДОУ по вопросам противостояния коррупции в любых её проявлениях, воспитания у граждан чувства гражданской ответственности, укрепление доверия к власти.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Организация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пропаганды осуществляется в порядке, установленном законодательством.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pStyle w:val="a6"/>
        <w:numPr>
          <w:ilvl w:val="0"/>
          <w:numId w:val="1"/>
        </w:num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Внедрение 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механизмов.</w:t>
      </w:r>
    </w:p>
    <w:p w:rsidR="00253769" w:rsidRDefault="00253769" w:rsidP="00253769">
      <w:pPr>
        <w:pStyle w:val="a6"/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    Проведение мероприятий  с работниками ДОУ по вопросам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политики в воспитательно-образовательном процессе.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Усиление воспитательной и разъяснительной работы среди работников ДОУ по недопущению фактов вымогательства и получения денежных средств от родителей (законных представителей) воспитанников.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Усиление контроля за ведением документов, выявление нарушений должностных инструкций. Принятие дисциплинарных взысканий к лицам, допустивших нарушения.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 Анализ заявлений, обращений участников образовательных отношений на предмет наличия в них информации о фактах коррупции в ДОУ. Принятие по результатам проверок организационных мер, направленных на предупреждение подобных фактов.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 </w:t>
      </w: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 w:rsidP="00253769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253769" w:rsidRDefault="00253769"/>
    <w:sectPr w:rsidR="00253769" w:rsidSect="00F873D8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D7A"/>
    <w:multiLevelType w:val="hybridMultilevel"/>
    <w:tmpl w:val="DD06CF2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769"/>
    <w:rsid w:val="00253769"/>
    <w:rsid w:val="00BE0524"/>
    <w:rsid w:val="00F8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769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25376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25376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253769"/>
    <w:pPr>
      <w:ind w:left="720"/>
      <w:contextualSpacing/>
    </w:pPr>
  </w:style>
  <w:style w:type="character" w:styleId="a7">
    <w:name w:val="Strong"/>
    <w:basedOn w:val="a0"/>
    <w:uiPriority w:val="99"/>
    <w:qFormat/>
    <w:rsid w:val="002537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2019-08-20T12:32:00Z</dcterms:created>
  <dcterms:modified xsi:type="dcterms:W3CDTF">2019-08-20T12:34:00Z</dcterms:modified>
</cp:coreProperties>
</file>